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9CC" w:rsidRDefault="001859CC" w:rsidP="001859CC">
      <w:pPr>
        <w:pStyle w:val="Nagwek4"/>
        <w:numPr>
          <w:ilvl w:val="2"/>
          <w:numId w:val="3"/>
        </w:numPr>
        <w:spacing w:before="120" w:line="240" w:lineRule="auto"/>
        <w:jc w:val="both"/>
        <w:rPr>
          <w:i w:val="0"/>
          <w:color w:val="auto"/>
          <w:sz w:val="24"/>
          <w:szCs w:val="24"/>
          <w:lang w:eastAsia="pl-PL"/>
        </w:rPr>
      </w:pPr>
      <w:bookmarkStart w:id="0" w:name="_Toc477775109"/>
      <w:r w:rsidRPr="001859CC">
        <w:rPr>
          <w:i w:val="0"/>
          <w:color w:val="auto"/>
          <w:sz w:val="24"/>
          <w:szCs w:val="24"/>
          <w:lang w:eastAsia="pl-PL"/>
        </w:rPr>
        <w:t>Informacja o dokonanych zmianach w planie finansowym wydatków w układzie zadaniowym</w:t>
      </w:r>
      <w:bookmarkEnd w:id="0"/>
    </w:p>
    <w:p w:rsidR="0053549D" w:rsidRPr="0053549D" w:rsidRDefault="0053549D" w:rsidP="0053549D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53549D" w:rsidRPr="0053549D" w:rsidRDefault="0053549D" w:rsidP="0053549D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53549D">
        <w:rPr>
          <w:rFonts w:eastAsia="Times New Roman" w:cs="Times New Roman"/>
          <w:sz w:val="24"/>
          <w:szCs w:val="24"/>
          <w:lang w:eastAsia="pl-PL"/>
        </w:rPr>
        <w:t>………………………………….</w:t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</w:r>
      <w:r w:rsidRPr="0053549D">
        <w:rPr>
          <w:rFonts w:eastAsia="Times New Roman" w:cs="Times New Roman"/>
          <w:sz w:val="24"/>
          <w:szCs w:val="24"/>
          <w:lang w:eastAsia="pl-PL"/>
        </w:rPr>
        <w:tab/>
        <w:t>……………………</w:t>
      </w:r>
    </w:p>
    <w:p w:rsidR="0053549D" w:rsidRPr="0053549D" w:rsidRDefault="0053549D" w:rsidP="0053549D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53549D">
        <w:rPr>
          <w:rFonts w:eastAsia="Times New Roman" w:cs="Times New Roman"/>
          <w:i/>
          <w:sz w:val="18"/>
          <w:szCs w:val="18"/>
          <w:lang w:eastAsia="pl-PL"/>
        </w:rPr>
        <w:t>Nazwa komórki organizacyjnej ZUW</w:t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53549D">
        <w:rPr>
          <w:rFonts w:eastAsia="Times New Roman" w:cs="Times New Roman"/>
          <w:i/>
          <w:sz w:val="18"/>
          <w:szCs w:val="18"/>
          <w:lang w:eastAsia="pl-PL"/>
        </w:rPr>
        <w:tab/>
        <w:t>miejscowość i data</w:t>
      </w:r>
    </w:p>
    <w:p w:rsidR="0053549D" w:rsidRPr="0053549D" w:rsidRDefault="0053549D" w:rsidP="0053549D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53549D">
        <w:rPr>
          <w:rFonts w:eastAsia="Times New Roman" w:cs="Times New Roman"/>
          <w:i/>
          <w:sz w:val="18"/>
          <w:szCs w:val="18"/>
          <w:lang w:eastAsia="pl-PL"/>
        </w:rPr>
        <w:t xml:space="preserve"> lub jednostki </w:t>
      </w:r>
    </w:p>
    <w:p w:rsidR="0053549D" w:rsidRPr="0053549D" w:rsidRDefault="0053549D" w:rsidP="0053549D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3549D" w:rsidRPr="0053549D" w:rsidRDefault="0053549D" w:rsidP="0053549D">
      <w:pPr>
        <w:spacing w:after="0" w:line="240" w:lineRule="auto"/>
        <w:ind w:left="6372" w:firstLine="708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3549D">
        <w:rPr>
          <w:rFonts w:eastAsia="Times New Roman" w:cs="Times New Roman"/>
          <w:sz w:val="24"/>
          <w:szCs w:val="24"/>
          <w:lang w:eastAsia="pl-PL"/>
        </w:rPr>
        <w:t>Wydział Finansów i Budżetu</w:t>
      </w:r>
    </w:p>
    <w:p w:rsidR="0053549D" w:rsidRPr="0053549D" w:rsidRDefault="0053549D" w:rsidP="0053549D">
      <w:pPr>
        <w:spacing w:after="0" w:line="240" w:lineRule="auto"/>
        <w:ind w:left="8496" w:firstLine="708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3549D">
        <w:rPr>
          <w:rFonts w:eastAsia="Times New Roman" w:cs="Times New Roman"/>
          <w:sz w:val="24"/>
          <w:szCs w:val="24"/>
          <w:lang w:eastAsia="pl-PL"/>
        </w:rPr>
        <w:t>w Zachodniopomorskim Urzędzie Wojewódzkim</w:t>
      </w:r>
    </w:p>
    <w:p w:rsidR="0053549D" w:rsidRPr="0053549D" w:rsidRDefault="0053549D" w:rsidP="0053549D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3549D">
        <w:rPr>
          <w:rFonts w:eastAsia="Times New Roman" w:cs="Times New Roman"/>
          <w:sz w:val="24"/>
          <w:szCs w:val="24"/>
          <w:lang w:eastAsia="pl-PL"/>
        </w:rPr>
        <w:t>w Szczecinie</w:t>
      </w:r>
    </w:p>
    <w:p w:rsidR="0053549D" w:rsidRPr="0053549D" w:rsidRDefault="0053549D" w:rsidP="0053549D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pl-PL"/>
        </w:rPr>
      </w:pPr>
    </w:p>
    <w:p w:rsidR="0053549D" w:rsidRPr="0053549D" w:rsidRDefault="0053549D" w:rsidP="0053549D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pl-PL"/>
        </w:rPr>
      </w:pPr>
      <w:r w:rsidRPr="0053549D">
        <w:rPr>
          <w:rFonts w:eastAsia="Times New Roman" w:cs="Times New Roman"/>
          <w:b/>
          <w:sz w:val="26"/>
          <w:szCs w:val="26"/>
          <w:lang w:eastAsia="pl-PL"/>
        </w:rPr>
        <w:t xml:space="preserve">  Informacja za …..kwartał ……20.…. roku o dokonanych zmianach w planie finansowym wydatków </w:t>
      </w:r>
    </w:p>
    <w:p w:rsidR="0053549D" w:rsidRPr="0053549D" w:rsidRDefault="0053549D" w:rsidP="0053549D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pl-PL"/>
        </w:rPr>
      </w:pPr>
      <w:r w:rsidRPr="0053549D">
        <w:rPr>
          <w:rFonts w:eastAsia="Times New Roman" w:cs="Times New Roman"/>
          <w:b/>
          <w:sz w:val="26"/>
          <w:szCs w:val="26"/>
          <w:lang w:eastAsia="pl-PL"/>
        </w:rPr>
        <w:t>w układzie zadaniowym</w:t>
      </w:r>
    </w:p>
    <w:tbl>
      <w:tblPr>
        <w:tblW w:w="151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20"/>
        <w:gridCol w:w="697"/>
        <w:gridCol w:w="544"/>
        <w:gridCol w:w="637"/>
        <w:gridCol w:w="618"/>
        <w:gridCol w:w="637"/>
        <w:gridCol w:w="865"/>
        <w:gridCol w:w="582"/>
        <w:gridCol w:w="675"/>
        <w:gridCol w:w="508"/>
        <w:gridCol w:w="786"/>
        <w:gridCol w:w="659"/>
        <w:gridCol w:w="674"/>
        <w:gridCol w:w="915"/>
        <w:gridCol w:w="600"/>
        <w:gridCol w:w="1304"/>
        <w:gridCol w:w="653"/>
        <w:gridCol w:w="618"/>
        <w:gridCol w:w="729"/>
        <w:gridCol w:w="618"/>
        <w:gridCol w:w="544"/>
      </w:tblGrid>
      <w:tr w:rsidR="0053549D" w:rsidRPr="0053549D" w:rsidTr="0087502B">
        <w:trPr>
          <w:trHeight w:val="255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3549D">
              <w:rPr>
                <w:rFonts w:eastAsia="Times New Roman" w:cs="Times New Roman"/>
                <w:sz w:val="18"/>
                <w:szCs w:val="18"/>
                <w:lang w:eastAsia="pl-PL"/>
              </w:rPr>
              <w:t>Numer działania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3549D">
              <w:rPr>
                <w:rFonts w:eastAsia="Times New Roman" w:cs="Times New Roman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313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3549D">
              <w:rPr>
                <w:rFonts w:eastAsia="Times New Roman" w:cs="Times New Roman"/>
                <w:sz w:val="18"/>
                <w:szCs w:val="18"/>
                <w:lang w:eastAsia="pl-PL"/>
              </w:rPr>
              <w:t>Ustawa budżetowa na 201..r./plan po zmianach na początku                      … kwartału 201…r.</w:t>
            </w:r>
          </w:p>
        </w:tc>
        <w:tc>
          <w:tcPr>
            <w:tcW w:w="75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3549D">
              <w:rPr>
                <w:rFonts w:eastAsia="Times New Roman" w:cs="Times New Roman"/>
                <w:sz w:val="18"/>
                <w:szCs w:val="18"/>
                <w:lang w:eastAsia="pl-PL"/>
              </w:rPr>
              <w:t>Zmiany w planie wydatków w …..kwartale 201… roku</w:t>
            </w:r>
          </w:p>
        </w:tc>
        <w:tc>
          <w:tcPr>
            <w:tcW w:w="31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3549D">
              <w:rPr>
                <w:rFonts w:eastAsia="Times New Roman" w:cs="Times New Roman"/>
                <w:sz w:val="18"/>
                <w:szCs w:val="18"/>
                <w:lang w:eastAsia="pl-PL"/>
              </w:rPr>
              <w:t>Plan po zmianach na koniec … kwartału 201…r.</w:t>
            </w:r>
          </w:p>
        </w:tc>
      </w:tr>
      <w:tr w:rsidR="0053549D" w:rsidRPr="0053549D" w:rsidTr="0087502B">
        <w:trPr>
          <w:trHeight w:val="255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3549D">
              <w:rPr>
                <w:rFonts w:eastAsia="Times New Roman" w:cs="Times New Roman"/>
                <w:sz w:val="18"/>
                <w:szCs w:val="18"/>
                <w:lang w:eastAsia="pl-PL"/>
              </w:rPr>
              <w:t>(- zmniejszenia; + zwiększenia)</w:t>
            </w:r>
          </w:p>
        </w:tc>
        <w:tc>
          <w:tcPr>
            <w:tcW w:w="31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53549D" w:rsidRPr="0053549D" w:rsidTr="0087502B">
        <w:trPr>
          <w:trHeight w:val="716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3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4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3549D">
              <w:rPr>
                <w:rFonts w:eastAsia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Decyzje Wojewody Zachodniopomorskiego</w:t>
            </w:r>
          </w:p>
        </w:tc>
        <w:tc>
          <w:tcPr>
            <w:tcW w:w="4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3549D">
              <w:rPr>
                <w:rFonts w:eastAsia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Zarządzenia wewnętrzne jednostek budżetowych/Zmiany w planie dokonane przez kierowników komórek organizacyjnych ZUW</w:t>
            </w:r>
          </w:p>
        </w:tc>
        <w:tc>
          <w:tcPr>
            <w:tcW w:w="31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53549D" w:rsidRPr="0053549D" w:rsidTr="0087502B">
        <w:trPr>
          <w:trHeight w:val="255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Ogółem (4+6)</w:t>
            </w:r>
          </w:p>
        </w:tc>
        <w:tc>
          <w:tcPr>
            <w:tcW w:w="24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z tego: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Ogółem (9+11)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z tego: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Ogółem (14+16)</w:t>
            </w:r>
          </w:p>
        </w:tc>
        <w:tc>
          <w:tcPr>
            <w:tcW w:w="3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z tego: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Ogółem (19+21)</w:t>
            </w:r>
          </w:p>
        </w:tc>
        <w:tc>
          <w:tcPr>
            <w:tcW w:w="2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z tego:</w:t>
            </w:r>
          </w:p>
        </w:tc>
      </w:tr>
      <w:tr w:rsidR="0053549D" w:rsidRPr="0053549D" w:rsidTr="0087502B">
        <w:trPr>
          <w:trHeight w:val="435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Wydatki majątkowe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Pozostałe wydatki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Wydatki majątkowe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Pozostałe wydatki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Wydatki majątkowe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Pozostałe wydatki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Wydatki majątkowe (4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9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14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Pozostałe wydatki (6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11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16)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w tym:</w:t>
            </w:r>
          </w:p>
        </w:tc>
      </w:tr>
      <w:tr w:rsidR="0053549D" w:rsidRPr="0053549D" w:rsidTr="0087502B">
        <w:trPr>
          <w:trHeight w:val="1815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</w:t>
            </w:r>
          </w:p>
        </w:tc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</w:t>
            </w: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</w:t>
            </w: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</w:t>
            </w: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</w:t>
            </w:r>
          </w:p>
        </w:tc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 (5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10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15)</w:t>
            </w:r>
          </w:p>
        </w:tc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Finansowanie projektów z udziałem środków UE (7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12</w:t>
            </w:r>
            <w:r w:rsidRPr="0053549D">
              <w:rPr>
                <w:rFonts w:eastAsia="Times New Roman" w:cs="Arial"/>
                <w:sz w:val="16"/>
                <w:szCs w:val="16"/>
                <w:lang w:eastAsia="pl-PL"/>
              </w:rPr>
              <w:t>±</w:t>
            </w: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17)</w:t>
            </w:r>
          </w:p>
        </w:tc>
      </w:tr>
      <w:tr w:rsidR="0053549D" w:rsidRPr="0053549D" w:rsidTr="0087502B">
        <w:trPr>
          <w:trHeight w:val="25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49D" w:rsidRPr="0053549D" w:rsidRDefault="0053549D" w:rsidP="0053549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3549D">
              <w:rPr>
                <w:rFonts w:eastAsia="Times New Roman" w:cs="Times New Roman"/>
                <w:sz w:val="16"/>
                <w:szCs w:val="16"/>
                <w:lang w:eastAsia="pl-PL"/>
              </w:rPr>
              <w:t>22</w:t>
            </w:r>
          </w:p>
        </w:tc>
      </w:tr>
      <w:tr w:rsidR="0053549D" w:rsidRPr="0053549D" w:rsidTr="0087502B">
        <w:trPr>
          <w:trHeight w:val="25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3549D" w:rsidRPr="0053549D" w:rsidTr="0087502B">
        <w:trPr>
          <w:trHeight w:val="25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3549D" w:rsidRPr="0053549D" w:rsidTr="0087502B">
        <w:trPr>
          <w:trHeight w:val="25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49D" w:rsidRPr="0053549D" w:rsidRDefault="0053549D" w:rsidP="0053549D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3549D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53549D" w:rsidRPr="0053549D" w:rsidRDefault="0053549D" w:rsidP="0053549D">
      <w:pPr>
        <w:numPr>
          <w:ilvl w:val="1"/>
          <w:numId w:val="0"/>
        </w:numPr>
        <w:spacing w:after="240" w:line="240" w:lineRule="auto"/>
        <w:jc w:val="center"/>
        <w:rPr>
          <w:rFonts w:asciiTheme="majorHAnsi" w:eastAsiaTheme="majorEastAsia" w:hAnsiTheme="majorHAnsi" w:cstheme="majorBidi"/>
          <w:sz w:val="24"/>
          <w:szCs w:val="24"/>
          <w:lang w:eastAsia="pl-PL"/>
        </w:rPr>
      </w:pP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 xml:space="preserve">Sporządził: </w:t>
      </w: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  <w:t xml:space="preserve"> </w:t>
      </w: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</w:r>
      <w:r w:rsidRPr="0053549D">
        <w:rPr>
          <w:rFonts w:asciiTheme="majorHAnsi" w:eastAsiaTheme="majorEastAsia" w:hAnsiTheme="majorHAnsi" w:cstheme="majorBidi"/>
          <w:sz w:val="24"/>
          <w:szCs w:val="24"/>
          <w:lang w:eastAsia="pl-PL"/>
        </w:rPr>
        <w:tab/>
        <w:t>Zatwierdził:</w:t>
      </w:r>
    </w:p>
    <w:p w:rsidR="001A7456" w:rsidRPr="00011510" w:rsidRDefault="0053549D" w:rsidP="0053549D">
      <w:pPr>
        <w:spacing w:after="80" w:line="240" w:lineRule="auto"/>
        <w:jc w:val="both"/>
        <w:rPr>
          <w:rFonts w:eastAsiaTheme="minorEastAsia"/>
          <w:lang w:eastAsia="pl-PL"/>
        </w:rPr>
      </w:pPr>
      <w:r w:rsidRPr="0053549D">
        <w:rPr>
          <w:rFonts w:eastAsiaTheme="minorEastAsia"/>
          <w:lang w:eastAsia="pl-PL"/>
        </w:rPr>
        <w:t>Tel:</w:t>
      </w:r>
      <w:bookmarkStart w:id="1" w:name="_GoBack"/>
      <w:bookmarkEnd w:id="1"/>
    </w:p>
    <w:sectPr w:rsidR="001A7456" w:rsidRPr="00011510" w:rsidSect="001859CC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872EA"/>
    <w:multiLevelType w:val="hybridMultilevel"/>
    <w:tmpl w:val="884C7450"/>
    <w:lvl w:ilvl="0" w:tplc="C90A26B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7E6D9D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10"/>
    <w:rsid w:val="00011510"/>
    <w:rsid w:val="00017901"/>
    <w:rsid w:val="001859CC"/>
    <w:rsid w:val="001A7456"/>
    <w:rsid w:val="001E7160"/>
    <w:rsid w:val="0053549D"/>
    <w:rsid w:val="0054260D"/>
    <w:rsid w:val="007C0D4D"/>
    <w:rsid w:val="009B0331"/>
    <w:rsid w:val="00A04C3A"/>
    <w:rsid w:val="00A95ECF"/>
    <w:rsid w:val="00C3337D"/>
    <w:rsid w:val="00D75B25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8DFE8-85DB-449B-B46F-03143838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59CC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859CC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859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1859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1859CC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59CC"/>
    <w:rPr>
      <w:rFonts w:eastAsiaTheme="majorEastAsia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5</cp:revision>
  <dcterms:created xsi:type="dcterms:W3CDTF">2017-03-20T11:16:00Z</dcterms:created>
  <dcterms:modified xsi:type="dcterms:W3CDTF">2020-12-17T09:33:00Z</dcterms:modified>
</cp:coreProperties>
</file>